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6590" w14:textId="44472857" w:rsidR="008042E1" w:rsidRPr="007B5270" w:rsidRDefault="008042E1" w:rsidP="008042E1">
      <w:pPr>
        <w:spacing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TO: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ab/>
        <w:t>All Campus Employees</w:t>
      </w:r>
    </w:p>
    <w:p w14:paraId="7CB00F43" w14:textId="78E371F6" w:rsidR="008042E1" w:rsidRPr="007B5270" w:rsidRDefault="008042E1" w:rsidP="008042E1">
      <w:pPr>
        <w:spacing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FROM: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ab/>
      </w:r>
      <w:r w:rsidR="00143AF4">
        <w:rPr>
          <w:rFonts w:ascii="Times New Roman" w:eastAsia="Calibri" w:hAnsi="Times New Roman" w:cs="Times New Roman"/>
          <w:color w:val="auto"/>
          <w:sz w:val="18"/>
          <w:szCs w:val="22"/>
        </w:rPr>
        <w:t>Misty Butler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, </w:t>
      </w:r>
      <w:r w:rsidR="0025518B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Parking </w:t>
      </w:r>
      <w:r w:rsidR="00EA15DC">
        <w:rPr>
          <w:rFonts w:ascii="Times New Roman" w:eastAsia="Calibri" w:hAnsi="Times New Roman" w:cs="Times New Roman"/>
          <w:color w:val="auto"/>
          <w:sz w:val="18"/>
          <w:szCs w:val="22"/>
        </w:rPr>
        <w:t>and</w:t>
      </w:r>
      <w:r w:rsidR="0025518B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Traffic 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Coordinator</w:t>
      </w:r>
    </w:p>
    <w:p w14:paraId="09468843" w14:textId="62B9A1D7" w:rsidR="008042E1" w:rsidRPr="007B5270" w:rsidRDefault="008042E1" w:rsidP="008042E1">
      <w:pPr>
        <w:spacing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RE</w:t>
      </w:r>
      <w:r w:rsidR="00994757"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:</w:t>
      </w:r>
      <w:r w:rsidR="00994757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        </w:t>
      </w:r>
      <w:r w:rsidR="00994757"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2025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/202</w:t>
      </w:r>
      <w:r w:rsidR="00994757">
        <w:rPr>
          <w:rFonts w:ascii="Times New Roman" w:eastAsia="Calibri" w:hAnsi="Times New Roman" w:cs="Times New Roman"/>
          <w:color w:val="auto"/>
          <w:sz w:val="18"/>
          <w:szCs w:val="22"/>
        </w:rPr>
        <w:t>6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Faculty/Staff Vehicle Registration</w:t>
      </w:r>
    </w:p>
    <w:p w14:paraId="71E61CD2" w14:textId="77777777" w:rsidR="008042E1" w:rsidRPr="007B5270" w:rsidRDefault="008042E1" w:rsidP="008042E1">
      <w:pPr>
        <w:spacing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</w:p>
    <w:p w14:paraId="23ECA41E" w14:textId="468E0687" w:rsidR="008042E1" w:rsidRPr="007B5270" w:rsidRDefault="008042E1" w:rsidP="008042E1">
      <w:pPr>
        <w:spacing w:after="160" w:line="259" w:lineRule="auto"/>
        <w:rPr>
          <w:rFonts w:ascii="Times New Roman" w:eastAsia="Calibri" w:hAnsi="Times New Roman" w:cs="Times New Roman"/>
          <w:b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Parking Division Decal-By-Mail program for eligible faculty/staff will be from </w:t>
      </w:r>
      <w:r w:rsidR="00D56BAB">
        <w:rPr>
          <w:rFonts w:ascii="Times New Roman" w:eastAsia="Calibri" w:hAnsi="Times New Roman" w:cs="Times New Roman"/>
          <w:color w:val="auto"/>
          <w:sz w:val="18"/>
          <w:szCs w:val="22"/>
        </w:rPr>
        <w:t>June 16th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, </w:t>
      </w:r>
      <w:r w:rsidR="00D074FF"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202</w:t>
      </w:r>
      <w:r w:rsidR="00D63AE7">
        <w:rPr>
          <w:rFonts w:ascii="Times New Roman" w:eastAsia="Calibri" w:hAnsi="Times New Roman" w:cs="Times New Roman"/>
          <w:color w:val="auto"/>
          <w:sz w:val="18"/>
          <w:szCs w:val="22"/>
        </w:rPr>
        <w:t>5</w:t>
      </w:r>
      <w:r w:rsidR="00D074FF">
        <w:rPr>
          <w:rFonts w:ascii="Times New Roman" w:eastAsia="Calibri" w:hAnsi="Times New Roman" w:cs="Times New Roman"/>
          <w:color w:val="auto"/>
          <w:sz w:val="18"/>
          <w:szCs w:val="22"/>
        </w:rPr>
        <w:t>,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through the close of business on </w:t>
      </w:r>
      <w:r w:rsidR="00D56BAB">
        <w:rPr>
          <w:rFonts w:ascii="Times New Roman" w:eastAsia="Calibri" w:hAnsi="Times New Roman" w:cs="Times New Roman"/>
          <w:color w:val="auto"/>
          <w:sz w:val="18"/>
          <w:szCs w:val="22"/>
        </w:rPr>
        <w:t>June 27th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, 202</w:t>
      </w:r>
      <w:r w:rsidR="00D63AE7">
        <w:rPr>
          <w:rFonts w:ascii="Times New Roman" w:eastAsia="Calibri" w:hAnsi="Times New Roman" w:cs="Times New Roman"/>
          <w:color w:val="auto"/>
          <w:sz w:val="18"/>
          <w:szCs w:val="22"/>
        </w:rPr>
        <w:t>5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. Each vehicle in your household that you anticipate using to park on campus must be registered with the Parking Division. All full-time faculty/staff are eligible to participate in Decals-By-Mail. Part-time faculty/staff who are not or will not be enrolled as students may also participate. Those not eligible for Decals-By-Mail include graduate assistants/teaching assistants. Submissions received after </w:t>
      </w:r>
      <w:r w:rsidR="00D56BAB">
        <w:rPr>
          <w:rFonts w:ascii="Times New Roman" w:eastAsia="Calibri" w:hAnsi="Times New Roman" w:cs="Times New Roman"/>
          <w:color w:val="auto"/>
          <w:sz w:val="18"/>
          <w:szCs w:val="22"/>
        </w:rPr>
        <w:t>June 27th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will not be processed. Please return all completed forms to the SIU Parking Division electronically via email to </w:t>
      </w:r>
      <w:hyperlink r:id="rId7" w:history="1">
        <w:r w:rsidR="00DF6B2D" w:rsidRPr="00644F51">
          <w:rPr>
            <w:rStyle w:val="Hyperlink"/>
            <w:rFonts w:ascii="Times New Roman" w:eastAsia="Calibri" w:hAnsi="Times New Roman" w:cs="Times New Roman"/>
            <w:sz w:val="18"/>
            <w:szCs w:val="22"/>
          </w:rPr>
          <w:t>dps-parking@siu.edu</w:t>
        </w:r>
      </w:hyperlink>
      <w:r w:rsidR="00DF6B2D">
        <w:rPr>
          <w:rFonts w:ascii="Times New Roman" w:eastAsia="Calibri" w:hAnsi="Times New Roman" w:cs="Times New Roman"/>
          <w:color w:val="auto"/>
          <w:sz w:val="18"/>
          <w:szCs w:val="22"/>
        </w:rPr>
        <w:t>,, please note this is a change from previous years, we will not accept forms through any other method or email</w:t>
      </w:r>
      <w:r w:rsidR="0088194A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, be sure to use only the newest forms which can be found at parking.siu.edu. </w:t>
      </w:r>
    </w:p>
    <w:p w14:paraId="4481CFDD" w14:textId="7F11C0EE" w:rsidR="002F39E8" w:rsidRDefault="008042E1" w:rsidP="008042E1">
      <w:pPr>
        <w:spacing w:after="160"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Participating employees can apply for a decal(s) by going to </w:t>
      </w:r>
      <w:r w:rsidR="002F39E8">
        <w:rPr>
          <w:rFonts w:ascii="Times New Roman" w:eastAsia="Calibri" w:hAnsi="Times New Roman" w:cs="Times New Roman"/>
          <w:color w:val="auto"/>
          <w:sz w:val="18"/>
          <w:szCs w:val="22"/>
        </w:rPr>
        <w:t>parking.siu.edu, click on commonly used forms. Here you will complete the Parking Vehicle Information for each vehicle you are purchasing a decal for and the Payroll Deduction Form.</w:t>
      </w:r>
    </w:p>
    <w:p w14:paraId="4860E83E" w14:textId="431025BB" w:rsidR="008042E1" w:rsidRPr="007B5270" w:rsidRDefault="008042E1" w:rsidP="008042E1">
      <w:pPr>
        <w:spacing w:after="160"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Once the form is open:</w:t>
      </w:r>
    </w:p>
    <w:p w14:paraId="48BA6817" w14:textId="77777777" w:rsidR="008042E1" w:rsidRPr="007B5270" w:rsidRDefault="008042E1" w:rsidP="008042E1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Complete the fillable pdf.</w:t>
      </w:r>
    </w:p>
    <w:p w14:paraId="2EE9B720" w14:textId="1DB118AE" w:rsidR="008042E1" w:rsidRPr="007F10E1" w:rsidRDefault="008042E1" w:rsidP="00E11B84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>Submit your vehicle registration form(s)</w:t>
      </w:r>
      <w:r w:rsidR="0088194A"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>, one per vehicle you are purchasing decal for</w:t>
      </w:r>
      <w:r w:rsidR="007F10E1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, this is only for </w:t>
      </w:r>
      <w:r w:rsidR="007F10E1"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>deduction</w:t>
      </w:r>
      <w:r w:rsidR="007F10E1">
        <w:rPr>
          <w:rFonts w:ascii="Times New Roman" w:eastAsia="Calibri" w:hAnsi="Times New Roman" w:cs="Times New Roman"/>
          <w:color w:val="auto"/>
          <w:sz w:val="18"/>
          <w:szCs w:val="22"/>
        </w:rPr>
        <w:t>. All other decal sales will be available July 1</w:t>
      </w:r>
      <w:r w:rsidR="007F10E1" w:rsidRPr="007F10E1">
        <w:rPr>
          <w:rFonts w:ascii="Times New Roman" w:eastAsia="Calibri" w:hAnsi="Times New Roman" w:cs="Times New Roman"/>
          <w:color w:val="auto"/>
          <w:sz w:val="18"/>
          <w:szCs w:val="22"/>
          <w:vertAlign w:val="superscript"/>
        </w:rPr>
        <w:t>st</w:t>
      </w:r>
      <w:r w:rsidR="007F10E1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. </w:t>
      </w:r>
      <w:r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All forms must be submitted electronically via email to </w:t>
      </w:r>
      <w:hyperlink r:id="rId8" w:history="1">
        <w:r w:rsidR="00DF6B2D" w:rsidRPr="007F10E1">
          <w:rPr>
            <w:rStyle w:val="Hyperlink"/>
            <w:rFonts w:ascii="Times New Roman" w:eastAsia="Calibri" w:hAnsi="Times New Roman" w:cs="Times New Roman"/>
            <w:sz w:val="18"/>
            <w:szCs w:val="22"/>
          </w:rPr>
          <w:t>dps-parking@siu.edu</w:t>
        </w:r>
      </w:hyperlink>
      <w:r w:rsidR="00DF6B2D"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. </w:t>
      </w:r>
    </w:p>
    <w:p w14:paraId="572325DC" w14:textId="06F9811A" w:rsidR="008042E1" w:rsidRPr="000F2E03" w:rsidRDefault="008042E1" w:rsidP="008042E1">
      <w:pPr>
        <w:spacing w:after="160"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0F2E03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Please note that the salary ranges for decal categories have </w:t>
      </w:r>
      <w:r w:rsidRPr="000F2E03">
        <w:rPr>
          <w:rFonts w:ascii="Times New Roman" w:eastAsia="Calibri" w:hAnsi="Times New Roman" w:cs="Times New Roman"/>
          <w:b/>
          <w:color w:val="auto"/>
          <w:sz w:val="18"/>
          <w:szCs w:val="22"/>
          <w:u w:val="single"/>
        </w:rPr>
        <w:t>not</w:t>
      </w:r>
      <w:r w:rsidRPr="000F2E03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been increased. The 202</w:t>
      </w:r>
      <w:r w:rsidR="00D63AE7">
        <w:rPr>
          <w:rFonts w:ascii="Times New Roman" w:eastAsia="Calibri" w:hAnsi="Times New Roman" w:cs="Times New Roman"/>
          <w:color w:val="auto"/>
          <w:sz w:val="18"/>
          <w:szCs w:val="22"/>
        </w:rPr>
        <w:t>5</w:t>
      </w:r>
      <w:r w:rsidRPr="000F2E03">
        <w:rPr>
          <w:rFonts w:ascii="Times New Roman" w:eastAsia="Calibri" w:hAnsi="Times New Roman" w:cs="Times New Roman"/>
          <w:color w:val="auto"/>
          <w:sz w:val="18"/>
          <w:szCs w:val="22"/>
        </w:rPr>
        <w:t>/202</w:t>
      </w:r>
      <w:r w:rsidR="00D63AE7">
        <w:rPr>
          <w:rFonts w:ascii="Times New Roman" w:eastAsia="Calibri" w:hAnsi="Times New Roman" w:cs="Times New Roman"/>
          <w:color w:val="auto"/>
          <w:sz w:val="18"/>
          <w:szCs w:val="22"/>
        </w:rPr>
        <w:t>6</w:t>
      </w:r>
      <w:r w:rsidRPr="000F2E03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faculty/staff parking decal prices are as follows:</w:t>
      </w:r>
    </w:p>
    <w:tbl>
      <w:tblPr>
        <w:tblStyle w:val="TableGrid"/>
        <w:tblW w:w="6120" w:type="dxa"/>
        <w:tblInd w:w="1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510"/>
        <w:gridCol w:w="990"/>
      </w:tblGrid>
      <w:tr w:rsidR="008042E1" w:rsidRPr="000F2E03" w14:paraId="35B1234A" w14:textId="77777777" w:rsidTr="00803AC8">
        <w:tc>
          <w:tcPr>
            <w:tcW w:w="1620" w:type="dxa"/>
          </w:tcPr>
          <w:p w14:paraId="7A703D96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Premium Blue</w:t>
            </w:r>
          </w:p>
        </w:tc>
        <w:tc>
          <w:tcPr>
            <w:tcW w:w="3510" w:type="dxa"/>
          </w:tcPr>
          <w:p w14:paraId="3EF7AD70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Salary $70,000 and over</w:t>
            </w:r>
          </w:p>
        </w:tc>
        <w:tc>
          <w:tcPr>
            <w:tcW w:w="990" w:type="dxa"/>
          </w:tcPr>
          <w:p w14:paraId="3EC56499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$275</w:t>
            </w:r>
          </w:p>
        </w:tc>
      </w:tr>
      <w:tr w:rsidR="008042E1" w:rsidRPr="000F2E03" w14:paraId="336C7B9E" w14:textId="77777777" w:rsidTr="00803AC8">
        <w:tc>
          <w:tcPr>
            <w:tcW w:w="1620" w:type="dxa"/>
          </w:tcPr>
          <w:p w14:paraId="67A3A253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High Blue</w:t>
            </w:r>
          </w:p>
        </w:tc>
        <w:tc>
          <w:tcPr>
            <w:tcW w:w="3510" w:type="dxa"/>
          </w:tcPr>
          <w:p w14:paraId="0B973F32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Salary between $45,000-$69,999.99</w:t>
            </w:r>
          </w:p>
        </w:tc>
        <w:tc>
          <w:tcPr>
            <w:tcW w:w="990" w:type="dxa"/>
          </w:tcPr>
          <w:p w14:paraId="44600A00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$220</w:t>
            </w:r>
          </w:p>
        </w:tc>
      </w:tr>
      <w:tr w:rsidR="008042E1" w:rsidRPr="000F2E03" w14:paraId="3C36641E" w14:textId="77777777" w:rsidTr="00803AC8">
        <w:tc>
          <w:tcPr>
            <w:tcW w:w="1620" w:type="dxa"/>
          </w:tcPr>
          <w:p w14:paraId="63CF192A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Medium Blue</w:t>
            </w:r>
          </w:p>
        </w:tc>
        <w:tc>
          <w:tcPr>
            <w:tcW w:w="3510" w:type="dxa"/>
          </w:tcPr>
          <w:p w14:paraId="1B054603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Salary between $30,000-$44,999.99</w:t>
            </w:r>
          </w:p>
        </w:tc>
        <w:tc>
          <w:tcPr>
            <w:tcW w:w="990" w:type="dxa"/>
          </w:tcPr>
          <w:p w14:paraId="345BAE31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$195</w:t>
            </w:r>
          </w:p>
        </w:tc>
      </w:tr>
      <w:tr w:rsidR="008042E1" w:rsidRPr="007B5270" w14:paraId="1B6A5D40" w14:textId="77777777" w:rsidTr="00803AC8">
        <w:tc>
          <w:tcPr>
            <w:tcW w:w="1620" w:type="dxa"/>
          </w:tcPr>
          <w:p w14:paraId="0DABB655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Low Blue</w:t>
            </w:r>
          </w:p>
        </w:tc>
        <w:tc>
          <w:tcPr>
            <w:tcW w:w="3510" w:type="dxa"/>
          </w:tcPr>
          <w:p w14:paraId="0F7E8FC8" w14:textId="77777777" w:rsidR="008042E1" w:rsidRPr="000F2E03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Salary less than $30,000</w:t>
            </w:r>
          </w:p>
        </w:tc>
        <w:tc>
          <w:tcPr>
            <w:tcW w:w="990" w:type="dxa"/>
          </w:tcPr>
          <w:p w14:paraId="055EA847" w14:textId="77777777" w:rsidR="008042E1" w:rsidRPr="007B5270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0F2E03">
              <w:rPr>
                <w:rFonts w:ascii="Times New Roman" w:hAnsi="Times New Roman" w:cs="Times New Roman"/>
                <w:color w:val="auto"/>
                <w:sz w:val="18"/>
              </w:rPr>
              <w:t>$145</w:t>
            </w:r>
          </w:p>
        </w:tc>
      </w:tr>
      <w:tr w:rsidR="008042E1" w:rsidRPr="007B5270" w14:paraId="1EAA2212" w14:textId="77777777" w:rsidTr="00803AC8">
        <w:tc>
          <w:tcPr>
            <w:tcW w:w="1620" w:type="dxa"/>
          </w:tcPr>
          <w:p w14:paraId="5A880F3B" w14:textId="77777777" w:rsidR="008042E1" w:rsidRPr="007B5270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3510" w:type="dxa"/>
          </w:tcPr>
          <w:p w14:paraId="30BD2001" w14:textId="77777777" w:rsidR="008042E1" w:rsidRPr="007B5270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990" w:type="dxa"/>
          </w:tcPr>
          <w:p w14:paraId="62818A79" w14:textId="77777777" w:rsidR="008042E1" w:rsidRPr="007B5270" w:rsidRDefault="008042E1" w:rsidP="008042E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</w:tr>
    </w:tbl>
    <w:p w14:paraId="7FE9C568" w14:textId="77777777" w:rsidR="008042E1" w:rsidRPr="007B5270" w:rsidRDefault="008042E1" w:rsidP="008042E1">
      <w:pPr>
        <w:spacing w:after="160" w:line="259" w:lineRule="auto"/>
        <w:rPr>
          <w:rFonts w:ascii="Times New Roman" w:eastAsia="Calibri" w:hAnsi="Times New Roman" w:cs="Times New Roman"/>
          <w:b/>
          <w:i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b/>
          <w:i/>
          <w:color w:val="auto"/>
          <w:sz w:val="18"/>
          <w:szCs w:val="22"/>
        </w:rPr>
        <w:t>Yellow Commuter Decals are only available to employees in Low Blue salary range.</w:t>
      </w:r>
    </w:p>
    <w:p w14:paraId="464721D0" w14:textId="2B50B91F" w:rsidR="008042E1" w:rsidRPr="007B5270" w:rsidRDefault="008042E1" w:rsidP="008042E1">
      <w:pPr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Decals for additional vehicles may be purchased for $15 if no one else in your household is affiliated with the University. Forms received for vehicles previously registered to someone affiliated will be returned if members of your household are affiliated</w:t>
      </w:r>
      <w:r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>.</w:t>
      </w:r>
      <w:r w:rsidR="00DF6B2D"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A vehicle registration form is required for each vehicle you are purchasing </w:t>
      </w:r>
      <w:r w:rsidR="0088194A"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a </w:t>
      </w:r>
      <w:r w:rsidR="00DF6B2D" w:rsidRPr="007F10E1">
        <w:rPr>
          <w:rFonts w:ascii="Times New Roman" w:eastAsia="Calibri" w:hAnsi="Times New Roman" w:cs="Times New Roman"/>
          <w:color w:val="auto"/>
          <w:sz w:val="18"/>
          <w:szCs w:val="22"/>
        </w:rPr>
        <w:t>decal.</w:t>
      </w:r>
      <w:r w:rsidR="00DF6B2D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</w:t>
      </w:r>
    </w:p>
    <w:p w14:paraId="31E90C4B" w14:textId="49DB575B" w:rsidR="008042E1" w:rsidRPr="007B5270" w:rsidRDefault="008042E1" w:rsidP="008042E1">
      <w:pPr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Gross salary as reported by Human Resources will be used to determine an employee’s salary level. </w:t>
      </w:r>
      <w:r w:rsidR="000F2E03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If the decal range you document on the Payroll Deduction form is different than the Human Resources amount, the Human Resources salary will be used as your salary range. </w:t>
      </w:r>
    </w:p>
    <w:p w14:paraId="54896A05" w14:textId="41CB41A1" w:rsidR="008042E1" w:rsidRPr="007B5270" w:rsidRDefault="008042E1" w:rsidP="008042E1">
      <w:pPr>
        <w:spacing w:after="160"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Eligible staff choosing the payroll deduction payment option need to complete the Payroll Deduction Authorization Form </w:t>
      </w:r>
      <w:r w:rsidR="00CE2605">
        <w:rPr>
          <w:rFonts w:ascii="Times New Roman" w:eastAsia="Calibri" w:hAnsi="Times New Roman" w:cs="Times New Roman"/>
          <w:color w:val="auto"/>
          <w:sz w:val="18"/>
          <w:szCs w:val="22"/>
        </w:rPr>
        <w:t>at http://parking.siu.edu/registration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. Payroll deductions for decal(s) will be taken beginning in August 202</w:t>
      </w:r>
      <w:r w:rsidR="006278B0">
        <w:rPr>
          <w:rFonts w:ascii="Times New Roman" w:eastAsia="Calibri" w:hAnsi="Times New Roman" w:cs="Times New Roman"/>
          <w:color w:val="auto"/>
          <w:sz w:val="18"/>
          <w:szCs w:val="22"/>
        </w:rPr>
        <w:t>5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. (Employees on biweekly payroll will have 8 deductions, semimonthly payroll will have 8 deductions, and monthly payroll will receive 4 deductions).</w:t>
      </w:r>
    </w:p>
    <w:p w14:paraId="36B51450" w14:textId="1A6507A2" w:rsidR="008042E1" w:rsidRPr="007B5270" w:rsidRDefault="007F10E1" w:rsidP="008042E1">
      <w:pPr>
        <w:spacing w:after="160" w:line="240" w:lineRule="auto"/>
        <w:rPr>
          <w:rFonts w:ascii="Times New Roman" w:eastAsia="Calibri" w:hAnsi="Times New Roman" w:cs="Times New Roman"/>
          <w:color w:val="auto"/>
          <w:sz w:val="18"/>
          <w:szCs w:val="22"/>
        </w:rPr>
      </w:pPr>
      <w:r>
        <w:rPr>
          <w:rFonts w:ascii="Times New Roman" w:eastAsia="Calibri" w:hAnsi="Times New Roman" w:cs="Times New Roman"/>
          <w:color w:val="auto"/>
          <w:sz w:val="18"/>
          <w:szCs w:val="22"/>
        </w:rPr>
        <w:t>E</w:t>
      </w:r>
      <w:r w:rsidR="008042E1"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ach employee is required to complete his/her own individual authorization form if eligible to participate, so deductions may </w:t>
      </w:r>
      <w:r w:rsidR="008042E1" w:rsidRPr="007B5270">
        <w:rPr>
          <w:rFonts w:ascii="Times New Roman" w:eastAsia="Calibri" w:hAnsi="Times New Roman" w:cs="Times New Roman"/>
          <w:b/>
          <w:color w:val="auto"/>
          <w:sz w:val="18"/>
          <w:szCs w:val="22"/>
        </w:rPr>
        <w:t>NOT</w:t>
      </w:r>
      <w:r w:rsidR="008042E1"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be made for one’s affiliated spouse or dependent(s). </w:t>
      </w:r>
    </w:p>
    <w:p w14:paraId="7DBBB49B" w14:textId="3A24D64E" w:rsidR="00C32690" w:rsidRPr="00D972B5" w:rsidRDefault="008042E1" w:rsidP="002F39E8">
      <w:pPr>
        <w:spacing w:after="160" w:line="259" w:lineRule="auto"/>
      </w:pP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Questions may be directed to the Parking Division office</w:t>
      </w:r>
      <w:r w:rsidR="00A11E42">
        <w:rPr>
          <w:rFonts w:ascii="Times New Roman" w:eastAsia="Calibri" w:hAnsi="Times New Roman" w:cs="Times New Roman"/>
          <w:color w:val="auto"/>
          <w:sz w:val="18"/>
          <w:szCs w:val="22"/>
        </w:rPr>
        <w:t>, 618-459-</w:t>
      </w:r>
      <w:r w:rsidR="000F2E03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5369, </w:t>
      </w:r>
      <w:r w:rsidR="000F2E03"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or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 xml:space="preserve"> by email to </w:t>
      </w:r>
      <w:r w:rsidR="0088194A">
        <w:rPr>
          <w:rFonts w:ascii="Times New Roman" w:eastAsia="Calibri" w:hAnsi="Times New Roman" w:cs="Times New Roman"/>
          <w:color w:val="auto"/>
          <w:sz w:val="18"/>
          <w:szCs w:val="22"/>
        </w:rPr>
        <w:t>dps-parking@siu.edu</w:t>
      </w:r>
      <w:r w:rsidRPr="007B5270">
        <w:rPr>
          <w:rFonts w:ascii="Times New Roman" w:eastAsia="Calibri" w:hAnsi="Times New Roman" w:cs="Times New Roman"/>
          <w:color w:val="auto"/>
          <w:sz w:val="18"/>
          <w:szCs w:val="22"/>
        </w:rPr>
        <w:t>. Our regular business hours are 7:30 a.m. – 4:30 p.m., Monday – Friday.</w:t>
      </w:r>
    </w:p>
    <w:sectPr w:rsidR="00C32690" w:rsidRPr="00D972B5" w:rsidSect="00CD53E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80" w:right="2160" w:bottom="1440" w:left="180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1E1A" w14:textId="77777777" w:rsidR="0090432A" w:rsidRDefault="0090432A" w:rsidP="00A66D71">
      <w:pPr>
        <w:spacing w:line="240" w:lineRule="auto"/>
      </w:pPr>
      <w:r>
        <w:separator/>
      </w:r>
    </w:p>
  </w:endnote>
  <w:endnote w:type="continuationSeparator" w:id="0">
    <w:p w14:paraId="3D7D51DA" w14:textId="77777777" w:rsidR="0090432A" w:rsidRDefault="0090432A" w:rsidP="00A6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6AAF" w14:textId="06A3D7C5" w:rsidR="00E91394" w:rsidRDefault="00E91394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0" wp14:anchorId="6E1A4436" wp14:editId="2A832926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57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243 CAFS LH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6B1B" w14:textId="429CD843" w:rsidR="00CD53E0" w:rsidRDefault="00CD53E0" w:rsidP="00CD53E0">
    <w:pPr>
      <w:pStyle w:val="Footer"/>
      <w:ind w:left="-1800" w:right="-2160"/>
    </w:pPr>
    <w:r>
      <w:rPr>
        <w:noProof/>
      </w:rPr>
      <w:drawing>
        <wp:anchor distT="0" distB="0" distL="114300" distR="114300" simplePos="0" relativeHeight="251663360" behindDoc="0" locked="1" layoutInCell="1" allowOverlap="1" wp14:anchorId="487D0B6E" wp14:editId="7C05A87E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572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H-bottom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2FD1C" w14:textId="77777777" w:rsidR="0090432A" w:rsidRDefault="0090432A" w:rsidP="00A66D71">
      <w:pPr>
        <w:spacing w:line="240" w:lineRule="auto"/>
      </w:pPr>
      <w:r>
        <w:separator/>
      </w:r>
    </w:p>
  </w:footnote>
  <w:footnote w:type="continuationSeparator" w:id="0">
    <w:p w14:paraId="7BAB95DB" w14:textId="77777777" w:rsidR="0090432A" w:rsidRDefault="0090432A" w:rsidP="00A66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3DD3" w14:textId="0964250F" w:rsidR="00E91394" w:rsidRDefault="00E91394" w:rsidP="00C22B83">
    <w:pPr>
      <w:pStyle w:val="Header"/>
      <w:tabs>
        <w:tab w:val="clear" w:pos="8640"/>
      </w:tabs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63E7" w14:textId="7BA41FB4" w:rsidR="00CD53E0" w:rsidRDefault="006278B0" w:rsidP="00BE3F75">
    <w:pPr>
      <w:pStyle w:val="Header"/>
    </w:pPr>
    <w:r w:rsidRPr="006278B0">
      <w:rPr>
        <w:noProof/>
      </w:rPr>
      <w:drawing>
        <wp:inline distT="0" distB="0" distL="0" distR="0" wp14:anchorId="6261406A" wp14:editId="797440C7">
          <wp:extent cx="5257800" cy="1676400"/>
          <wp:effectExtent l="0" t="0" r="0" b="0"/>
          <wp:docPr id="725286498" name="Picture 1" descr="A close-up of a business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286498" name="Picture 1" descr="A close-up of a business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9D6"/>
    <w:multiLevelType w:val="hybridMultilevel"/>
    <w:tmpl w:val="C006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E5A2D"/>
    <w:multiLevelType w:val="hybridMultilevel"/>
    <w:tmpl w:val="D1289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64537">
    <w:abstractNumId w:val="0"/>
  </w:num>
  <w:num w:numId="2" w16cid:durableId="136598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71"/>
    <w:rsid w:val="00026072"/>
    <w:rsid w:val="00075E65"/>
    <w:rsid w:val="00085F31"/>
    <w:rsid w:val="000F2E03"/>
    <w:rsid w:val="00141942"/>
    <w:rsid w:val="00143AF4"/>
    <w:rsid w:val="00152C10"/>
    <w:rsid w:val="002034B0"/>
    <w:rsid w:val="002106AB"/>
    <w:rsid w:val="00212A4F"/>
    <w:rsid w:val="002144CD"/>
    <w:rsid w:val="00214E68"/>
    <w:rsid w:val="00227DBB"/>
    <w:rsid w:val="0025518B"/>
    <w:rsid w:val="00265EDE"/>
    <w:rsid w:val="00284733"/>
    <w:rsid w:val="002E4D73"/>
    <w:rsid w:val="002F39E8"/>
    <w:rsid w:val="00310C30"/>
    <w:rsid w:val="003402A8"/>
    <w:rsid w:val="00374270"/>
    <w:rsid w:val="00377029"/>
    <w:rsid w:val="00395049"/>
    <w:rsid w:val="003E49CF"/>
    <w:rsid w:val="004144F8"/>
    <w:rsid w:val="00484257"/>
    <w:rsid w:val="004D359D"/>
    <w:rsid w:val="00525C37"/>
    <w:rsid w:val="00527E6E"/>
    <w:rsid w:val="005B1CDA"/>
    <w:rsid w:val="005C1FE9"/>
    <w:rsid w:val="00602656"/>
    <w:rsid w:val="006278B0"/>
    <w:rsid w:val="006A7D1F"/>
    <w:rsid w:val="006B50F3"/>
    <w:rsid w:val="006D135E"/>
    <w:rsid w:val="006E38E6"/>
    <w:rsid w:val="007375F3"/>
    <w:rsid w:val="0074463D"/>
    <w:rsid w:val="00772134"/>
    <w:rsid w:val="007B5270"/>
    <w:rsid w:val="007C7BE6"/>
    <w:rsid w:val="007F10E1"/>
    <w:rsid w:val="008042E1"/>
    <w:rsid w:val="00824AA9"/>
    <w:rsid w:val="0085508F"/>
    <w:rsid w:val="0088194A"/>
    <w:rsid w:val="00892F8F"/>
    <w:rsid w:val="008C3EB0"/>
    <w:rsid w:val="008C5763"/>
    <w:rsid w:val="008E359B"/>
    <w:rsid w:val="008F01DF"/>
    <w:rsid w:val="0090432A"/>
    <w:rsid w:val="00912343"/>
    <w:rsid w:val="00923DB7"/>
    <w:rsid w:val="009640CA"/>
    <w:rsid w:val="009700B5"/>
    <w:rsid w:val="00994757"/>
    <w:rsid w:val="009C14B1"/>
    <w:rsid w:val="009C413F"/>
    <w:rsid w:val="00A07F36"/>
    <w:rsid w:val="00A11E42"/>
    <w:rsid w:val="00A14657"/>
    <w:rsid w:val="00A66D71"/>
    <w:rsid w:val="00AB708D"/>
    <w:rsid w:val="00B043BF"/>
    <w:rsid w:val="00B73D16"/>
    <w:rsid w:val="00B831A4"/>
    <w:rsid w:val="00BA1C0F"/>
    <w:rsid w:val="00BB195B"/>
    <w:rsid w:val="00BE3F75"/>
    <w:rsid w:val="00BE47F2"/>
    <w:rsid w:val="00C00FD8"/>
    <w:rsid w:val="00C22B83"/>
    <w:rsid w:val="00C32690"/>
    <w:rsid w:val="00C3521A"/>
    <w:rsid w:val="00CB0646"/>
    <w:rsid w:val="00CD53E0"/>
    <w:rsid w:val="00CE2605"/>
    <w:rsid w:val="00D074FF"/>
    <w:rsid w:val="00D1249F"/>
    <w:rsid w:val="00D37922"/>
    <w:rsid w:val="00D4270C"/>
    <w:rsid w:val="00D46AB1"/>
    <w:rsid w:val="00D56BAB"/>
    <w:rsid w:val="00D63AE7"/>
    <w:rsid w:val="00D972B5"/>
    <w:rsid w:val="00DF6B2D"/>
    <w:rsid w:val="00E43247"/>
    <w:rsid w:val="00E465AA"/>
    <w:rsid w:val="00E91394"/>
    <w:rsid w:val="00EA15DC"/>
    <w:rsid w:val="00EB3246"/>
    <w:rsid w:val="00EE471E"/>
    <w:rsid w:val="00F12575"/>
    <w:rsid w:val="00F76B72"/>
    <w:rsid w:val="00FF77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CD785EC"/>
  <w15:docId w15:val="{3955B007-90B3-4B47-8794-3913AA13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A8"/>
    <w:pPr>
      <w:spacing w:line="360" w:lineRule="auto"/>
    </w:pPr>
    <w:rPr>
      <w:rFonts w:ascii="Palatino" w:hAnsi="Palatino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0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30D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30D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1"/>
  </w:style>
  <w:style w:type="paragraph" w:styleId="Footer">
    <w:name w:val="footer"/>
    <w:basedOn w:val="Normal"/>
    <w:link w:val="FooterChar"/>
    <w:uiPriority w:val="99"/>
    <w:unhideWhenUsed/>
    <w:rsid w:val="00A66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D71"/>
  </w:style>
  <w:style w:type="paragraph" w:styleId="BalloonText">
    <w:name w:val="Balloon Text"/>
    <w:basedOn w:val="Normal"/>
    <w:link w:val="BalloonTextChar"/>
    <w:uiPriority w:val="99"/>
    <w:semiHidden/>
    <w:unhideWhenUsed/>
    <w:rsid w:val="00A66D7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71"/>
    <w:rPr>
      <w:rFonts w:ascii="Lucida Grande" w:hAnsi="Lucida Grande" w:cs="Lucida Grande"/>
      <w:color w:val="000000" w:themeColor="tex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5049"/>
    <w:rPr>
      <w:rFonts w:asciiTheme="majorHAnsi" w:eastAsiaTheme="majorEastAsia" w:hAnsiTheme="majorHAnsi" w:cstheme="majorBidi"/>
      <w:b/>
      <w:bCs/>
      <w:color w:val="430D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049"/>
    <w:rPr>
      <w:rFonts w:asciiTheme="majorHAnsi" w:eastAsiaTheme="majorEastAsia" w:hAnsiTheme="majorHAnsi" w:cstheme="majorBidi"/>
      <w:b/>
      <w:bCs/>
      <w:color w:val="430D2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5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0D2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049"/>
    <w:rPr>
      <w:rFonts w:asciiTheme="majorHAnsi" w:eastAsiaTheme="majorEastAsia" w:hAnsiTheme="majorHAnsi" w:cstheme="majorBidi"/>
      <w:color w:val="430D2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30D2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5049"/>
    <w:rPr>
      <w:rFonts w:asciiTheme="majorHAnsi" w:eastAsiaTheme="majorEastAsia" w:hAnsiTheme="majorHAnsi" w:cstheme="majorBidi"/>
      <w:i/>
      <w:iCs/>
      <w:color w:val="430D20"/>
      <w:spacing w:val="1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21A"/>
    <w:pPr>
      <w:spacing w:line="240" w:lineRule="auto"/>
    </w:pPr>
    <w:rPr>
      <w:rFonts w:ascii="Calibri" w:eastAsiaTheme="minorHAns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21A"/>
    <w:rPr>
      <w:rFonts w:ascii="Calibri" w:eastAsiaTheme="minorHAnsi" w:hAnsi="Calibri"/>
      <w:sz w:val="22"/>
      <w:szCs w:val="21"/>
    </w:rPr>
  </w:style>
  <w:style w:type="paragraph" w:styleId="NoSpacing">
    <w:name w:val="No Spacing"/>
    <w:uiPriority w:val="1"/>
    <w:qFormat/>
    <w:rsid w:val="005C1FE9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8042E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B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B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-parking@si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s-parking@si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SIUC</Company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Weisburd</dc:creator>
  <cp:keywords/>
  <dc:description/>
  <cp:lastModifiedBy>Derosett, Christina L</cp:lastModifiedBy>
  <cp:revision>5</cp:revision>
  <cp:lastPrinted>2024-04-16T15:30:00Z</cp:lastPrinted>
  <dcterms:created xsi:type="dcterms:W3CDTF">2025-04-30T14:07:00Z</dcterms:created>
  <dcterms:modified xsi:type="dcterms:W3CDTF">2025-06-12T13:38:00Z</dcterms:modified>
  <cp:category/>
</cp:coreProperties>
</file>